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D4" w:rsidRPr="002E49D4" w:rsidRDefault="002E49D4" w:rsidP="002E49D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2E49D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Условия получения дошкольного образования лицами с ограниченными возможностями здоровья и инвалидами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«Реализация инклюзивного образования дошкольников с ограниченными возможностями здоровья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через нормативные документы»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2E49D4">
        <w:rPr>
          <w:rFonts w:ascii="Arial" w:eastAsia="Times New Roman" w:hAnsi="Arial" w:cs="Arial"/>
          <w:b/>
          <w:bCs/>
          <w:color w:val="000000"/>
          <w:kern w:val="36"/>
          <w:sz w:val="36"/>
        </w:rPr>
        <w:t>(Приказ Министерства образования и науки Российской Федерации от 17 октября 2013 г. N 1155 г. Москва</w:t>
      </w:r>
    </w:p>
    <w:p w:rsidR="002E49D4" w:rsidRPr="002E49D4" w:rsidRDefault="002E49D4" w:rsidP="002E49D4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2E49D4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2E49D4" w:rsidRPr="002E49D4" w:rsidRDefault="002E49D4" w:rsidP="002E49D4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2E49D4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Санитарно-эпидемиологические правила и нормативы СанПиН 2.4.1.3049-13)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          В примерной общеобразовательной программе дошкольного образования «От рождения до школы», под редакцией Н.Е.Вераксы, Т.С.Комаровой, М.А.Васильевой,  Москва 2015г даются понятия: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113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Ограничение возможностей здоровья 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— любая утрата психической, физиологической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бытовую, социальную или иную деятельность и препятствующие получению образования без создания специальных условий, подтвержденные психолого-медико-педагогической комиссией. (Тяжелое нарушение речи, умственная отсталость, задержка психического развития (ЗПР) и др.)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Инклюзивное образование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113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Адаптированная образовательная программа 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— образовательная программа, адаптированная для обучения лиц с ОВЗ (в том числе с инвалидностью),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Разрабатывается на базе основной общеобразовательной программы в соответствии с особыми образовательными потребностями категории лиц с ОВЗ, к которой относится ребенок.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113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Модернизация образования для детей с ограниченными возможностями здоровья в нашей стране вышла на новый этап: завершилось общественное обсуждение проекта Концепции Федерального государственного стандарта для обучающихся с ОВЗ, стартовала апробация  данного Стандарта в 17-ти регионах Российской Федерации. 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113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 xml:space="preserve">Неоднородность состава обучающихся с ОВЗ определяет необходимость разработки дифференцированного стандарта, включающего такой набор вариантов, который даст возможность обеспечить на практике максимальный охват обучающихся с ОВЗ; гарантировать им удовлетворение как общих, так и особых образовательных потребностей; преодолеть зависимость получения образования от места проживания, вида 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lastRenderedPageBreak/>
        <w:t>образовательной организации, тяжести нарушения психического развития, способности к освоению уровня образования, предусмотренного для здоровых сверстников («цензового» образования)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Приказ Министерства образования и науки Российской Федерации (Минобрнауки России) от 17 октября 2013 г. N 1155 г. Москва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Федеральный государственный образовательный стандарт дошкольного образования (Приказ № 1155 от 17 октября 2013 года) 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— совокупность обязательных требований к образованию определенного уровня и / или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I. Общие положения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1.3. В Стандарте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учитываются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1.5. Стандарт направлен на достижение следующих целей: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1.6. Стандарт направлен на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решение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следующих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задач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1.7. Стандарт является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основой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для: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II. Требования к структуре образовательной программы дошкольного образования и ее объему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2.11.1. Целевой раздел включает в себя пояснительную записку и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планируемые результаты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освоения программы.(в том числе)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Коррекционная работа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и/или инклюзивное образование должны быть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направлены на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lastRenderedPageBreak/>
        <w:t>1)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обеспечение коррекции нарушений развития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2)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освоение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детьми с ограниченными возможностями здоровья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Программы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учитывать особенности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развития и специфические образовательные потребности каждой категории детей.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2.13. Дополнительным разделом Программы является текст ее краткой презентации. Краткая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презентация Программы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должна быть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ориентирована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на родителей (законных представителей) детей и доступна для ознакомления.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1) возрастные и иные категории детей, на которых ориентирована Программа Организации, в том числе категории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детей с ограниченными возможностями здоровья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если Программа предусматривает особенности ее реализации для этой категории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3.2.2. Для получения без дискриминации качественного образования детьми с ограниченными возможностями здоровья создаются необходимые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условия для диагностики и коррекции нарушений развития и социальной адаптации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3.2.5. 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Условия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необходимые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для создания социальной ситуации развития детей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соответствующей специфике дошкольного возраста,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предполагают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3) установление правил взаимодействия в разных ситуациях: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создание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условий для позитивных, доброжелательных отношений между детьми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условия 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i/>
          <w:iCs/>
          <w:color w:val="111111"/>
          <w:sz w:val="21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3.3.4. Развивающая предметно-пространственная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среда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должна быть содержательно-насыщенной, трансформируемой, полифункциональной, вариативной, доступной и безопасной.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lastRenderedPageBreak/>
        <w:t>5) Доступность среды предполагает: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доступность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3.4.3. При работе в Группах для детей с ограниченными возможностям здоровья в Организации могут быть дополнительно предусмотрены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должности педагогических работников, имеющих соответствующую квалификацию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3.4.4. При организации инклюзивного образования: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при включении в Группу детей с ограниченными возможностям здоровья к реализации Программы могут быть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привлечены дополнительные педагогические работники, имеющие соответствующую квалификацию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3.6.3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. Финансирование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специальные образовательные программы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методы и средства обучения, учебники, учебные пособия, дидактические и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наглядные материалы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технические средства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адаптация 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образовательных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учреждений и прилегающих к ним территорий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расходов на оплату труда работников, реализующих Программу;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lastRenderedPageBreak/>
        <w:t>расходов на средства обучения и воспитания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специальных 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для детей с ограниченными возможностями здоровья.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2E49D4" w:rsidRPr="002E49D4" w:rsidRDefault="002E49D4" w:rsidP="002E49D4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2E49D4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2E49D4" w:rsidRPr="002E49D4" w:rsidRDefault="002E49D4" w:rsidP="002E49D4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2E49D4">
        <w:rPr>
          <w:rFonts w:ascii="Arial" w:eastAsia="Times New Roman" w:hAnsi="Arial" w:cs="Arial"/>
          <w:b/>
          <w:bCs/>
          <w:color w:val="111111"/>
          <w:sz w:val="24"/>
          <w:szCs w:val="24"/>
        </w:rPr>
        <w:t>Санитарно-эпидемиологические правила и нормативы СанПиН 2.4.1.3049-13</w:t>
      </w:r>
    </w:p>
    <w:p w:rsidR="002E49D4" w:rsidRPr="002E49D4" w:rsidRDefault="002E49D4" w:rsidP="002E49D4">
      <w:pPr>
        <w:shd w:val="clear" w:color="auto" w:fill="FFFFFF"/>
        <w:spacing w:before="100" w:beforeAutospacing="1" w:after="100" w:afterAutospacing="1" w:line="336" w:lineRule="atLeast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2E49D4">
        <w:rPr>
          <w:rFonts w:ascii="Arial" w:eastAsia="Times New Roman" w:hAnsi="Arial" w:cs="Arial"/>
          <w:b/>
          <w:bCs/>
          <w:color w:val="111111"/>
          <w:sz w:val="24"/>
          <w:szCs w:val="24"/>
        </w:rPr>
        <w:t>I. Общие положения и область применения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детей с тяжелыми нарушениями речи - 6 и 10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детей с фонетико-фонематическими нарушениями речи в возрасте старше 3 лет - 12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глухих детей - 6 детей для обеих возрастных групп;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слабослышащих детей - 6 и 8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слепых детей - 6 детей для обеих возрастных групп;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слабовидящих детей, для детей с амблиопией, косоглазием - 6 и 10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детей с нарушениями опорно-двигательного аппарата - 6 и 8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детей с задержкой психического развития - 6 и 10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детей с умственной отсталостью легкой степени - 6 и 10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детей с умственной отсталостью умеренной, тяжелой в возрасте старше 3 лет - 8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детей с аутизмом только в возрасте старше 3 лет - 5 детей;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 xml:space="preserve">1.12. В дошкольных образовательных организациях, комплектование групп комбинированной направленности, реализующих совместное образование здоровых 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lastRenderedPageBreak/>
        <w:t>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Рекомендуемое количество детей в группах комбинированной направленности: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а) до 3 лет - не более 10 детей, в том числе не более 3 детей с ограниченными возможностями здоровья;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б) старше 3 лет: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 не более 17 детей, в том числе не более 5 детей с задержкой психического развития.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VI. Требования к размещению оборудования в помещениях дошкольных образовательных организаций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Помещения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дошкольных образовательных организаций (групп) компенсирующего вида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оборудуются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в зависимости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от осуществления квалифицированной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коррекции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отклонений в физическом и психическом развитии воспитанников.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b/>
          <w:bCs/>
          <w:color w:val="111111"/>
          <w:sz w:val="21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компенсирующей направленности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lastRenderedPageBreak/>
        <w:t>-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оздоровительной направленности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-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комбинированной направленности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- для организации совместного воспитания и образования здоровых детей и детей с ограниченными возможностями здоровья.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10.2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. Размещение помещений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обеспечивать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возможность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удобного перемещения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внутри здания и к игровой площадке.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10.3. 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Территория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специальной дошкольной образовательной организации должна иметь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удобные подъездные пути и подходы 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от остановок общественного транспорта.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На территории дошкольной образовательной организации для слепых и слабовидящих детей ширина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прогулочных дорожек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для безопасности передвижения детей должна быть не менее 3 м и иметь двустороннее ограждение двух уровней: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перила на высоте 90 см и планка - на высоте 15 см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Около поворотов, вблизи перекрестков, у зданий, около столбов и других препятствий дорожки должны иметь крупнозернистую структуру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покрытий, шероховатая поверхность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которых служит сигналом для замедления ходьбы. Асфальтированные дорожки должны иметь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дугообразный профиль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в зависимости от их ширины (середина дорожки возвышается над боковыми сторонами на 5 - 15 см).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lastRenderedPageBreak/>
        <w:t> 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10.8. 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Двери входов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углы округлять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10.9. Лестницы должны иметь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двусторонние поручни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и ограждение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высотой 1,8 м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или сплошное ограждение сеткой.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Предусматривают лифты, пандусы с уклоном 1:6.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Пандусы 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должны иметь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резиновое покрытие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10.12. 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Групповые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спальни, музыкальные залы для слепых, слабовидящих, должны иметь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только южную и восточную ориентацию п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о сторонам горизонта.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10.13. 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Уровень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искусственной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освещенности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для слепых и слабовидящих детей в игровых, учебных помещениях, музыкальных и спортивных залах, должен быть не менее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600 - 800 лк;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для детей, страдающих светобоязнью в игровых, учебных помещениях, музыкальных и спортивных залах - не более 300 лк.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В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логопедических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кабинетах около зеркала устанавливаются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настенные светильники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местного освещения на кронштейнах, позволяющих менять угол наклона и высоту источника света.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lastRenderedPageBreak/>
        <w:t>В помещениях групповых для слабовидящих детей и детей с умственной отсталостью рекомендуются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одноместные 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универсальные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столы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с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регулируемыми параметрами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, простой и надежной конструкции.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10.17. В дошкольных образовательных организациях для детей с нарушением опорно-двигательного аппарата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плавательный бассейн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должен иметь </w:t>
      </w:r>
      <w:r w:rsidRPr="002E49D4">
        <w:rPr>
          <w:rFonts w:ascii="Arial" w:eastAsia="Times New Roman" w:hAnsi="Arial" w:cs="Arial"/>
          <w:b/>
          <w:bCs/>
          <w:color w:val="111111"/>
          <w:sz w:val="21"/>
        </w:rPr>
        <w:t>устройство для опускания и поднятия детей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ind w:left="480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2E49D4">
        <w:rPr>
          <w:rFonts w:ascii="Arial" w:eastAsia="Times New Roman" w:hAnsi="Arial" w:cs="Arial"/>
          <w:color w:val="111111"/>
          <w:sz w:val="21"/>
          <w:szCs w:val="21"/>
          <w:vertAlign w:val="superscript"/>
        </w:rPr>
        <w:t>3</w:t>
      </w:r>
      <w:r w:rsidRPr="002E49D4">
        <w:rPr>
          <w:rFonts w:ascii="Arial" w:eastAsia="Times New Roman" w:hAnsi="Arial" w:cs="Arial"/>
          <w:color w:val="111111"/>
          <w:sz w:val="21"/>
          <w:szCs w:val="21"/>
        </w:rPr>
        <w:t> в час на ребенка.</w:t>
      </w:r>
    </w:p>
    <w:p w:rsidR="002E49D4" w:rsidRPr="002E49D4" w:rsidRDefault="002E49D4" w:rsidP="002E49D4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111111"/>
          <w:sz w:val="21"/>
          <w:szCs w:val="21"/>
        </w:rPr>
      </w:pPr>
      <w:r w:rsidRPr="002E49D4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8E2E63" w:rsidRDefault="008E2E63"/>
    <w:sectPr w:rsidR="008E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49D4"/>
    <w:rsid w:val="002E49D4"/>
    <w:rsid w:val="008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E49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E49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9D4"/>
    <w:rPr>
      <w:b/>
      <w:bCs/>
    </w:rPr>
  </w:style>
  <w:style w:type="character" w:styleId="a5">
    <w:name w:val="Emphasis"/>
    <w:basedOn w:val="a0"/>
    <w:uiPriority w:val="20"/>
    <w:qFormat/>
    <w:rsid w:val="002E4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3466</Words>
  <Characters>19758</Characters>
  <Application>Microsoft Office Word</Application>
  <DocSecurity>0</DocSecurity>
  <Lines>164</Lines>
  <Paragraphs>46</Paragraphs>
  <ScaleCrop>false</ScaleCrop>
  <Company>RePack by SPecialiST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2022-11-07T11:56:00Z</dcterms:created>
  <dcterms:modified xsi:type="dcterms:W3CDTF">2022-11-07T11:56:00Z</dcterms:modified>
</cp:coreProperties>
</file>